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0E068E" w:rsidP="00215B92">
      <w:pPr>
        <w:pStyle w:val="Title"/>
      </w:pPr>
      <w:r w:rsidRPr="000E068E">
        <w:t>Meeting Notes Template</w:t>
      </w:r>
    </w:p>
    <w:p w:rsidR="009906F5" w:rsidRPr="00215B92" w:rsidRDefault="00F27549" w:rsidP="00215B92">
      <w:pPr>
        <w:pStyle w:val="Subtitle"/>
      </w:pPr>
      <w:bookmarkStart w:id="0" w:name="_ytii46ix4k66" w:colFirst="0" w:colLast="0"/>
      <w:bookmarkEnd w:id="0"/>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88FF99"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0E068E" w:rsidRPr="000E068E">
        <w:t xml:space="preserve"> Keep a record of important discussions</w:t>
      </w:r>
    </w:p>
    <w:p w:rsidR="009906F5" w:rsidRDefault="0070218B" w:rsidP="00A04CDA">
      <w:pP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A902C3" w:rsidRDefault="00DF60CD" w:rsidP="00DF60CD">
      <w:pPr>
        <w:spacing w:before="0" w:after="0"/>
      </w:pPr>
      <w:r w:rsidRPr="00DF60CD">
        <w:t>Meeting notes help with communication across the project. They ensure that the project stakeholders have a common understanding of what a past meeting was about and decisions that were made, as well as an outline of any next steps or action items. The notes serve as the permanent record of the discussion and the decisions made in the meeting. Meeting notes are an especially useful record for those who were not able to attend the meeting in person.</w:t>
      </w:r>
    </w:p>
    <w:p w:rsidR="0070218B" w:rsidRDefault="00F27549" w:rsidP="00DF60CD">
      <w:pPr>
        <w:pStyle w:val="Heading2"/>
        <w:spacing w:before="180"/>
      </w:pPr>
      <w:r w:rsidRPr="00F27549">
        <w:t>Instructions</w:t>
      </w:r>
    </w:p>
    <w:p w:rsidR="00DF60CD" w:rsidRDefault="00DF60CD" w:rsidP="00DF60CD">
      <w:pPr>
        <w:numPr>
          <w:ilvl w:val="0"/>
          <w:numId w:val="16"/>
        </w:numPr>
        <w:spacing w:before="0" w:after="0"/>
      </w:pPr>
      <w:bookmarkStart w:id="1" w:name="_rboachausb6u" w:colFirst="0" w:colLast="0"/>
      <w:bookmarkStart w:id="2" w:name="_k0c5j8akc632" w:colFirst="0" w:colLast="0"/>
      <w:bookmarkEnd w:id="1"/>
      <w:bookmarkEnd w:id="2"/>
      <w:r>
        <w:t xml:space="preserve">Refine the template to suit your needs. </w:t>
      </w:r>
    </w:p>
    <w:p w:rsidR="00DF60CD" w:rsidRDefault="00DF60CD" w:rsidP="00DF60CD">
      <w:pPr>
        <w:numPr>
          <w:ilvl w:val="0"/>
          <w:numId w:val="16"/>
        </w:numPr>
        <w:spacing w:before="0" w:after="0"/>
      </w:pPr>
      <w:r>
        <w:t>Record the meeting participants and document who attended.</w:t>
      </w:r>
    </w:p>
    <w:p w:rsidR="00DF60CD" w:rsidRDefault="00DF60CD" w:rsidP="00DF60CD">
      <w:pPr>
        <w:numPr>
          <w:ilvl w:val="0"/>
          <w:numId w:val="16"/>
        </w:numPr>
        <w:spacing w:before="0" w:after="0"/>
      </w:pPr>
      <w:r>
        <w:t xml:space="preserve">Start the meeting with a review of the action items from previous meetings. Record the updated status in the table. </w:t>
      </w:r>
    </w:p>
    <w:p w:rsidR="00DF60CD" w:rsidRDefault="00DF60CD" w:rsidP="00DF60CD">
      <w:pPr>
        <w:numPr>
          <w:ilvl w:val="0"/>
          <w:numId w:val="16"/>
        </w:numPr>
        <w:spacing w:before="0" w:after="0"/>
      </w:pPr>
      <w:r>
        <w:t>Record key decisions and takeaways from the meeting discussions.</w:t>
      </w:r>
    </w:p>
    <w:p w:rsidR="00DF60CD" w:rsidRDefault="00DF60CD" w:rsidP="00DF60CD">
      <w:pPr>
        <w:numPr>
          <w:ilvl w:val="0"/>
          <w:numId w:val="16"/>
        </w:numPr>
        <w:spacing w:before="0" w:after="0"/>
      </w:pPr>
      <w:r>
        <w:t>Document new action items and add those action items to the agenda for the next meeting for an update on the progress.</w:t>
      </w:r>
    </w:p>
    <w:p w:rsidR="00DF60CD" w:rsidRDefault="00DF60CD" w:rsidP="00DF60CD">
      <w:pPr>
        <w:numPr>
          <w:ilvl w:val="0"/>
          <w:numId w:val="16"/>
        </w:numPr>
        <w:spacing w:before="0" w:after="0"/>
      </w:pPr>
      <w:r>
        <w:t>Utilize the notes section to summarize discussions.</w:t>
      </w:r>
    </w:p>
    <w:p w:rsidR="00DF60CD" w:rsidRDefault="00DF60CD" w:rsidP="00DF60CD">
      <w:pPr>
        <w:numPr>
          <w:ilvl w:val="0"/>
          <w:numId w:val="16"/>
        </w:numPr>
        <w:spacing w:before="0" w:after="0"/>
      </w:pPr>
      <w:r>
        <w:t>Set the next meeting date and time.</w:t>
      </w:r>
    </w:p>
    <w:p w:rsidR="009906F5" w:rsidRDefault="007006E8" w:rsidP="00DF60CD">
      <w:pPr>
        <w:pStyle w:val="Heading2"/>
        <w:tabs>
          <w:tab w:val="left" w:pos="7395"/>
        </w:tabs>
        <w:spacing w:before="180"/>
      </w:pPr>
      <w:r>
        <w:t>Helpful hints</w:t>
      </w:r>
      <w:r w:rsidR="00C63E90">
        <w:tab/>
      </w:r>
    </w:p>
    <w:p w:rsidR="00DF60CD" w:rsidRDefault="00DF60CD" w:rsidP="00DF60CD">
      <w:pPr>
        <w:numPr>
          <w:ilvl w:val="0"/>
          <w:numId w:val="17"/>
        </w:numPr>
        <w:spacing w:before="0" w:after="0"/>
      </w:pPr>
      <w:bookmarkStart w:id="3" w:name="_m0w9onq4qgcz" w:colFirst="0" w:colLast="0"/>
      <w:bookmarkEnd w:id="3"/>
      <w:r>
        <w:t xml:space="preserve">Transfer risks, issues, actions, and decisions to a </w:t>
      </w:r>
      <w:r>
        <w:rPr>
          <w:b/>
        </w:rPr>
        <w:t>RAID Log</w:t>
      </w:r>
      <w:r>
        <w:t xml:space="preserve"> to maintain a central repository of this information. The RAID log facilitates quick access to information about outstanding actions and issues and past decisions. </w:t>
      </w:r>
    </w:p>
    <w:p w:rsidR="00DF60CD" w:rsidRDefault="00DF60CD" w:rsidP="00DF60CD">
      <w:pPr>
        <w:numPr>
          <w:ilvl w:val="0"/>
          <w:numId w:val="17"/>
        </w:numPr>
        <w:spacing w:before="0" w:after="0"/>
      </w:pPr>
      <w:r w:rsidRPr="00522801">
        <w:rPr>
          <w:b/>
        </w:rPr>
        <w:t>Bolded text</w:t>
      </w:r>
      <w:r>
        <w:t xml:space="preserve"> (as used above) indicates that the resource referenced is available elsewhere in the IIS Migration Toolkit.</w:t>
      </w:r>
    </w:p>
    <w:p w:rsidR="00D664D4" w:rsidRPr="00D664D4" w:rsidRDefault="00D664D4" w:rsidP="00DF60CD">
      <w:pPr>
        <w:numPr>
          <w:ilvl w:val="0"/>
          <w:numId w:val="17"/>
        </w:numPr>
        <w:spacing w:before="0" w:after="0"/>
      </w:pPr>
      <w:r>
        <w:t xml:space="preserve">Boxes marked “note to author” (indicated with a lightbulb icon) are intended </w:t>
      </w:r>
      <w:r w:rsidR="00FC6EB7">
        <w:t xml:space="preserve">to serve </w:t>
      </w:r>
      <w:r>
        <w:t>as guidance as you move through the template, and should be deleted as you work.</w:t>
      </w:r>
    </w:p>
    <w:p w:rsidR="00DF60CD" w:rsidRDefault="00DF60CD" w:rsidP="00DF60CD">
      <w:pPr>
        <w:numPr>
          <w:ilvl w:val="0"/>
          <w:numId w:val="17"/>
        </w:numPr>
        <w:spacing w:before="0" w:after="0"/>
      </w:pPr>
      <w:r>
        <w:t>Utilize this template while in the meeting if feasible. It is often difficult to transcribe meeting minutes after the meeting has happened.</w:t>
      </w:r>
    </w:p>
    <w:p w:rsidR="00DF60CD" w:rsidRDefault="00DF60CD" w:rsidP="00DF60CD">
      <w:pPr>
        <w:numPr>
          <w:ilvl w:val="0"/>
          <w:numId w:val="17"/>
        </w:numPr>
        <w:spacing w:before="0" w:after="0"/>
      </w:pPr>
      <w:r>
        <w:t>Follow a structured agenda, and consider including the agenda in the meeting minutes as part of the notes section.</w:t>
      </w:r>
    </w:p>
    <w:p w:rsidR="0008131A" w:rsidRPr="00D664D4" w:rsidRDefault="00DF60CD" w:rsidP="00A04CDA">
      <w:pPr>
        <w:numPr>
          <w:ilvl w:val="0"/>
          <w:numId w:val="17"/>
        </w:numPr>
        <w:spacing w:before="0" w:after="0"/>
      </w:pPr>
      <w:r>
        <w:t>Meeting notes should be distributed to the meeting participants, including those who were unable to attend in person. Distribution should occur in a timely manner, typically within 3-5 business days.</w:t>
      </w:r>
      <w:r w:rsidR="0008131A" w:rsidRPr="00D664D4">
        <w:rPr>
          <w:sz w:val="6"/>
        </w:rPr>
        <w:br w:type="page"/>
      </w:r>
    </w:p>
    <w:p w:rsidR="00C43D3B" w:rsidRDefault="00C43D3B" w:rsidP="00C43D3B">
      <w:pPr>
        <w:pStyle w:val="Heading1"/>
      </w:pPr>
      <w:r>
        <w:lastRenderedPageBreak/>
        <w:t>&lt;Meeting&gt; notes</w:t>
      </w:r>
    </w:p>
    <w:p w:rsidR="00C43D3B" w:rsidRDefault="00C43D3B" w:rsidP="00C43D3B">
      <w:pPr>
        <w:pStyle w:val="Heading2"/>
      </w:pPr>
      <w:r>
        <w:t>Meeting information</w:t>
      </w:r>
    </w:p>
    <w:p w:rsidR="00C43D3B" w:rsidRDefault="00C43D3B" w:rsidP="00C43D3B"/>
    <w:tbl>
      <w:tblPr>
        <w:tblStyle w:val="TableGrid"/>
        <w:tblW w:w="8928" w:type="dxa"/>
        <w:tblLook w:val="04A0" w:firstRow="1" w:lastRow="0" w:firstColumn="1" w:lastColumn="0" w:noHBand="0" w:noVBand="1"/>
      </w:tblPr>
      <w:tblGrid>
        <w:gridCol w:w="1818"/>
        <w:gridCol w:w="7110"/>
      </w:tblGrid>
      <w:tr w:rsidR="00C43D3B" w:rsidTr="00C43D3B">
        <w:tc>
          <w:tcPr>
            <w:tcW w:w="1818" w:type="dxa"/>
            <w:shd w:val="clear" w:color="auto" w:fill="3D85C6"/>
          </w:tcPr>
          <w:p w:rsidR="00C43D3B" w:rsidRPr="00C43D3B" w:rsidRDefault="00C43D3B" w:rsidP="004A6531">
            <w:pPr>
              <w:pStyle w:val="Tabletext"/>
              <w:rPr>
                <w:b/>
                <w:color w:val="FFFFFF" w:themeColor="background1"/>
              </w:rPr>
            </w:pPr>
            <w:r w:rsidRPr="00C43D3B">
              <w:rPr>
                <w:b/>
                <w:color w:val="FFFFFF" w:themeColor="background1"/>
              </w:rPr>
              <w:t>Objective(s)</w:t>
            </w:r>
          </w:p>
        </w:tc>
        <w:tc>
          <w:tcPr>
            <w:tcW w:w="7110" w:type="dxa"/>
            <w:shd w:val="clear" w:color="auto" w:fill="auto"/>
          </w:tcPr>
          <w:p w:rsidR="00C43D3B" w:rsidRPr="00C43D3B" w:rsidRDefault="00C43D3B" w:rsidP="004A6531">
            <w:pPr>
              <w:pStyle w:val="Tabletext"/>
            </w:pPr>
          </w:p>
        </w:tc>
      </w:tr>
      <w:tr w:rsidR="00C43D3B" w:rsidTr="00C43D3B">
        <w:tc>
          <w:tcPr>
            <w:tcW w:w="1818" w:type="dxa"/>
            <w:shd w:val="clear" w:color="auto" w:fill="3D85C6"/>
          </w:tcPr>
          <w:p w:rsidR="00C43D3B" w:rsidRPr="00C43D3B" w:rsidRDefault="00C43D3B" w:rsidP="004A6531">
            <w:pPr>
              <w:rPr>
                <w:b/>
                <w:color w:val="FFFFFF" w:themeColor="background1"/>
              </w:rPr>
            </w:pPr>
            <w:r w:rsidRPr="00C43D3B">
              <w:rPr>
                <w:b/>
                <w:color w:val="FFFFFF" w:themeColor="background1"/>
              </w:rPr>
              <w:t>Date, time</w:t>
            </w:r>
          </w:p>
        </w:tc>
        <w:tc>
          <w:tcPr>
            <w:tcW w:w="7110" w:type="dxa"/>
          </w:tcPr>
          <w:p w:rsidR="00C43D3B" w:rsidRDefault="00C43D3B" w:rsidP="004A6531"/>
        </w:tc>
      </w:tr>
      <w:tr w:rsidR="00C43D3B" w:rsidTr="00C43D3B">
        <w:tc>
          <w:tcPr>
            <w:tcW w:w="1818" w:type="dxa"/>
            <w:shd w:val="clear" w:color="auto" w:fill="3D85C6"/>
          </w:tcPr>
          <w:p w:rsidR="00C43D3B" w:rsidRPr="00C43D3B" w:rsidRDefault="00C43D3B" w:rsidP="004A6531">
            <w:pPr>
              <w:rPr>
                <w:b/>
                <w:color w:val="FFFFFF" w:themeColor="background1"/>
              </w:rPr>
            </w:pPr>
            <w:r w:rsidRPr="00C43D3B">
              <w:rPr>
                <w:b/>
                <w:color w:val="FFFFFF" w:themeColor="background1"/>
              </w:rPr>
              <w:t>Location</w:t>
            </w:r>
          </w:p>
        </w:tc>
        <w:tc>
          <w:tcPr>
            <w:tcW w:w="7110" w:type="dxa"/>
          </w:tcPr>
          <w:p w:rsidR="00C43D3B" w:rsidRDefault="00C43D3B" w:rsidP="004A6531"/>
        </w:tc>
      </w:tr>
      <w:tr w:rsidR="00C43D3B" w:rsidTr="00C43D3B">
        <w:tc>
          <w:tcPr>
            <w:tcW w:w="1818" w:type="dxa"/>
            <w:shd w:val="clear" w:color="auto" w:fill="3D85C6"/>
          </w:tcPr>
          <w:p w:rsidR="00C43D3B" w:rsidRPr="00C43D3B" w:rsidRDefault="00C43D3B" w:rsidP="00C43D3B">
            <w:pPr>
              <w:rPr>
                <w:b/>
                <w:color w:val="FFFFFF" w:themeColor="background1"/>
              </w:rPr>
            </w:pPr>
            <w:r w:rsidRPr="00C43D3B">
              <w:rPr>
                <w:b/>
                <w:color w:val="FFFFFF" w:themeColor="background1"/>
              </w:rPr>
              <w:t>Facilitator</w:t>
            </w:r>
          </w:p>
        </w:tc>
        <w:tc>
          <w:tcPr>
            <w:tcW w:w="7110" w:type="dxa"/>
          </w:tcPr>
          <w:p w:rsidR="00C43D3B" w:rsidRDefault="00C43D3B" w:rsidP="004A6531"/>
        </w:tc>
      </w:tr>
    </w:tbl>
    <w:p w:rsidR="00C43D3B" w:rsidRDefault="00C43D3B" w:rsidP="00C43D3B"/>
    <w:tbl>
      <w:tblPr>
        <w:tblStyle w:val="TableGrid"/>
        <w:tblW w:w="0" w:type="auto"/>
        <w:tblLook w:val="04A0" w:firstRow="1" w:lastRow="0" w:firstColumn="1" w:lastColumn="0" w:noHBand="0" w:noVBand="1"/>
      </w:tblPr>
      <w:tblGrid>
        <w:gridCol w:w="2538"/>
        <w:gridCol w:w="2700"/>
        <w:gridCol w:w="2430"/>
        <w:gridCol w:w="1188"/>
      </w:tblGrid>
      <w:tr w:rsidR="00C43D3B" w:rsidTr="00C43D3B">
        <w:tc>
          <w:tcPr>
            <w:tcW w:w="2538" w:type="dxa"/>
            <w:shd w:val="clear" w:color="auto" w:fill="3D85C6"/>
          </w:tcPr>
          <w:p w:rsidR="00C43D3B" w:rsidRPr="007B5C78" w:rsidRDefault="00C43D3B" w:rsidP="004A6531">
            <w:pPr>
              <w:pStyle w:val="Tabletext"/>
              <w:rPr>
                <w:b/>
                <w:color w:val="FFFFFF" w:themeColor="background1"/>
              </w:rPr>
            </w:pPr>
            <w:r>
              <w:rPr>
                <w:b/>
                <w:color w:val="FFFFFF" w:themeColor="background1"/>
              </w:rPr>
              <w:t>Participants</w:t>
            </w:r>
          </w:p>
        </w:tc>
        <w:tc>
          <w:tcPr>
            <w:tcW w:w="2700" w:type="dxa"/>
            <w:shd w:val="clear" w:color="auto" w:fill="3D85C6"/>
          </w:tcPr>
          <w:p w:rsidR="00C43D3B" w:rsidRPr="007B5C78" w:rsidRDefault="00C43D3B" w:rsidP="004A6531">
            <w:pPr>
              <w:pStyle w:val="Tabletext"/>
              <w:rPr>
                <w:b/>
                <w:color w:val="FFFFFF" w:themeColor="background1"/>
              </w:rPr>
            </w:pPr>
            <w:r>
              <w:rPr>
                <w:b/>
                <w:color w:val="FFFFFF" w:themeColor="background1"/>
              </w:rPr>
              <w:t>Affiliation/organization</w:t>
            </w:r>
          </w:p>
        </w:tc>
        <w:tc>
          <w:tcPr>
            <w:tcW w:w="2430" w:type="dxa"/>
            <w:shd w:val="clear" w:color="auto" w:fill="3D85C6"/>
          </w:tcPr>
          <w:p w:rsidR="00C43D3B" w:rsidRPr="007B5C78" w:rsidRDefault="00C43D3B" w:rsidP="004A6531">
            <w:pPr>
              <w:pStyle w:val="Tabletext"/>
              <w:rPr>
                <w:b/>
                <w:color w:val="FFFFFF" w:themeColor="background1"/>
              </w:rPr>
            </w:pPr>
            <w:r>
              <w:rPr>
                <w:b/>
                <w:color w:val="FFFFFF" w:themeColor="background1"/>
              </w:rPr>
              <w:t>Role</w:t>
            </w:r>
          </w:p>
        </w:tc>
        <w:tc>
          <w:tcPr>
            <w:tcW w:w="1188" w:type="dxa"/>
            <w:shd w:val="clear" w:color="auto" w:fill="3D85C6"/>
          </w:tcPr>
          <w:p w:rsidR="00C43D3B" w:rsidRPr="007B5C78" w:rsidRDefault="00C43D3B" w:rsidP="004A6531">
            <w:pPr>
              <w:pStyle w:val="Tabletext"/>
              <w:rPr>
                <w:b/>
                <w:color w:val="FFFFFF" w:themeColor="background1"/>
              </w:rPr>
            </w:pPr>
            <w:r>
              <w:rPr>
                <w:b/>
                <w:color w:val="FFFFFF" w:themeColor="background1"/>
              </w:rPr>
              <w:t>Present?</w:t>
            </w:r>
          </w:p>
        </w:tc>
      </w:tr>
      <w:tr w:rsidR="00C43D3B" w:rsidTr="00C43D3B">
        <w:tc>
          <w:tcPr>
            <w:tcW w:w="2538" w:type="dxa"/>
          </w:tcPr>
          <w:p w:rsidR="00C43D3B" w:rsidRDefault="00C43D3B" w:rsidP="004A6531"/>
        </w:tc>
        <w:tc>
          <w:tcPr>
            <w:tcW w:w="2700" w:type="dxa"/>
          </w:tcPr>
          <w:p w:rsidR="00C43D3B" w:rsidRDefault="00C43D3B" w:rsidP="004A6531"/>
        </w:tc>
        <w:tc>
          <w:tcPr>
            <w:tcW w:w="2430" w:type="dxa"/>
          </w:tcPr>
          <w:p w:rsidR="00C43D3B" w:rsidRDefault="00C43D3B" w:rsidP="004A6531"/>
        </w:tc>
        <w:tc>
          <w:tcPr>
            <w:tcW w:w="1188" w:type="dxa"/>
          </w:tcPr>
          <w:p w:rsidR="00C43D3B" w:rsidRDefault="00C43D3B" w:rsidP="004A6531"/>
        </w:tc>
      </w:tr>
      <w:tr w:rsidR="00C43D3B" w:rsidTr="00C43D3B">
        <w:tc>
          <w:tcPr>
            <w:tcW w:w="2538" w:type="dxa"/>
          </w:tcPr>
          <w:p w:rsidR="00C43D3B" w:rsidRDefault="00C43D3B" w:rsidP="004A6531"/>
        </w:tc>
        <w:tc>
          <w:tcPr>
            <w:tcW w:w="2700" w:type="dxa"/>
          </w:tcPr>
          <w:p w:rsidR="00C43D3B" w:rsidRDefault="00C43D3B" w:rsidP="004A6531"/>
        </w:tc>
        <w:tc>
          <w:tcPr>
            <w:tcW w:w="2430" w:type="dxa"/>
          </w:tcPr>
          <w:p w:rsidR="00C43D3B" w:rsidRDefault="00C43D3B" w:rsidP="004A6531"/>
        </w:tc>
        <w:tc>
          <w:tcPr>
            <w:tcW w:w="1188" w:type="dxa"/>
          </w:tcPr>
          <w:p w:rsidR="00C43D3B" w:rsidRDefault="00C43D3B" w:rsidP="004A6531"/>
        </w:tc>
      </w:tr>
      <w:tr w:rsidR="00C43D3B" w:rsidTr="00C43D3B">
        <w:tc>
          <w:tcPr>
            <w:tcW w:w="2538" w:type="dxa"/>
          </w:tcPr>
          <w:p w:rsidR="00C43D3B" w:rsidRDefault="00C43D3B" w:rsidP="004A6531"/>
        </w:tc>
        <w:tc>
          <w:tcPr>
            <w:tcW w:w="2700" w:type="dxa"/>
          </w:tcPr>
          <w:p w:rsidR="00C43D3B" w:rsidRDefault="00C43D3B" w:rsidP="004A6531"/>
        </w:tc>
        <w:tc>
          <w:tcPr>
            <w:tcW w:w="2430" w:type="dxa"/>
          </w:tcPr>
          <w:p w:rsidR="00C43D3B" w:rsidRDefault="00C43D3B" w:rsidP="004A6531"/>
        </w:tc>
        <w:tc>
          <w:tcPr>
            <w:tcW w:w="1188" w:type="dxa"/>
          </w:tcPr>
          <w:p w:rsidR="00C43D3B" w:rsidRDefault="00C43D3B" w:rsidP="004A6531"/>
        </w:tc>
      </w:tr>
      <w:tr w:rsidR="00C43D3B" w:rsidTr="00C43D3B">
        <w:tc>
          <w:tcPr>
            <w:tcW w:w="2538" w:type="dxa"/>
          </w:tcPr>
          <w:p w:rsidR="00C43D3B" w:rsidRDefault="00C43D3B" w:rsidP="004A6531"/>
        </w:tc>
        <w:tc>
          <w:tcPr>
            <w:tcW w:w="2700" w:type="dxa"/>
          </w:tcPr>
          <w:p w:rsidR="00C43D3B" w:rsidRDefault="00C43D3B" w:rsidP="004A6531"/>
        </w:tc>
        <w:tc>
          <w:tcPr>
            <w:tcW w:w="2430" w:type="dxa"/>
          </w:tcPr>
          <w:p w:rsidR="00C43D3B" w:rsidRDefault="00C43D3B" w:rsidP="004A6531"/>
        </w:tc>
        <w:tc>
          <w:tcPr>
            <w:tcW w:w="1188" w:type="dxa"/>
          </w:tcPr>
          <w:p w:rsidR="00C43D3B" w:rsidRDefault="00C43D3B" w:rsidP="004A6531"/>
        </w:tc>
      </w:tr>
    </w:tbl>
    <w:p w:rsidR="00C43D3B" w:rsidRDefault="00C43D3B" w:rsidP="00C43D3B">
      <w:pPr>
        <w:pStyle w:val="Heading2"/>
      </w:pPr>
      <w:r>
        <w:t>Action item review</w:t>
      </w:r>
    </w:p>
    <w:tbl>
      <w:tblPr>
        <w:tblStyle w:val="TableGrid"/>
        <w:tblW w:w="0" w:type="auto"/>
        <w:tblLook w:val="04A0" w:firstRow="1" w:lastRow="0" w:firstColumn="1" w:lastColumn="0" w:noHBand="0" w:noVBand="1"/>
      </w:tblPr>
      <w:tblGrid>
        <w:gridCol w:w="738"/>
        <w:gridCol w:w="2625"/>
        <w:gridCol w:w="2235"/>
        <w:gridCol w:w="1170"/>
        <w:gridCol w:w="2088"/>
      </w:tblGrid>
      <w:tr w:rsidR="00AC3BA5" w:rsidTr="00AC3BA5">
        <w:tc>
          <w:tcPr>
            <w:tcW w:w="738" w:type="dxa"/>
            <w:shd w:val="clear" w:color="auto" w:fill="3D85C6"/>
          </w:tcPr>
          <w:p w:rsidR="00AC3BA5" w:rsidRPr="007B5C78" w:rsidRDefault="00AC3BA5" w:rsidP="004A6531">
            <w:pPr>
              <w:pStyle w:val="Tabletext"/>
              <w:rPr>
                <w:b/>
                <w:color w:val="FFFFFF" w:themeColor="background1"/>
              </w:rPr>
            </w:pPr>
          </w:p>
        </w:tc>
        <w:tc>
          <w:tcPr>
            <w:tcW w:w="2625" w:type="dxa"/>
            <w:shd w:val="clear" w:color="auto" w:fill="3D85C6"/>
          </w:tcPr>
          <w:p w:rsidR="00AC3BA5" w:rsidRPr="007B5C78" w:rsidRDefault="00AC3BA5" w:rsidP="004A6531">
            <w:pPr>
              <w:pStyle w:val="Tabletext"/>
              <w:rPr>
                <w:b/>
                <w:color w:val="FFFFFF" w:themeColor="background1"/>
              </w:rPr>
            </w:pPr>
            <w:r>
              <w:rPr>
                <w:b/>
                <w:color w:val="FFFFFF" w:themeColor="background1"/>
              </w:rPr>
              <w:t>Action item</w:t>
            </w:r>
          </w:p>
        </w:tc>
        <w:tc>
          <w:tcPr>
            <w:tcW w:w="2235" w:type="dxa"/>
            <w:shd w:val="clear" w:color="auto" w:fill="3D85C6"/>
          </w:tcPr>
          <w:p w:rsidR="00AC3BA5" w:rsidRPr="007B5C78" w:rsidRDefault="00AC3BA5" w:rsidP="004A6531">
            <w:pPr>
              <w:pStyle w:val="Tabletext"/>
              <w:rPr>
                <w:b/>
                <w:color w:val="FFFFFF" w:themeColor="background1"/>
              </w:rPr>
            </w:pPr>
            <w:r>
              <w:rPr>
                <w:b/>
                <w:color w:val="FFFFFF" w:themeColor="background1"/>
              </w:rPr>
              <w:t>Person responsible</w:t>
            </w:r>
          </w:p>
        </w:tc>
        <w:tc>
          <w:tcPr>
            <w:tcW w:w="1170" w:type="dxa"/>
            <w:shd w:val="clear" w:color="auto" w:fill="3D85C6"/>
          </w:tcPr>
          <w:p w:rsidR="00AC3BA5" w:rsidRPr="007B5C78" w:rsidRDefault="00AC3BA5" w:rsidP="004A6531">
            <w:pPr>
              <w:pStyle w:val="Tabletext"/>
              <w:rPr>
                <w:b/>
                <w:color w:val="FFFFFF" w:themeColor="background1"/>
              </w:rPr>
            </w:pPr>
            <w:r>
              <w:rPr>
                <w:b/>
                <w:color w:val="FFFFFF" w:themeColor="background1"/>
              </w:rPr>
              <w:t>Due date</w:t>
            </w:r>
          </w:p>
        </w:tc>
        <w:tc>
          <w:tcPr>
            <w:tcW w:w="2088" w:type="dxa"/>
            <w:shd w:val="clear" w:color="auto" w:fill="3D85C6"/>
          </w:tcPr>
          <w:p w:rsidR="00AC3BA5" w:rsidRDefault="00AC3BA5" w:rsidP="004A6531">
            <w:pPr>
              <w:pStyle w:val="Tabletext"/>
              <w:rPr>
                <w:b/>
                <w:color w:val="FFFFFF" w:themeColor="background1"/>
              </w:rPr>
            </w:pPr>
            <w:r>
              <w:rPr>
                <w:b/>
                <w:color w:val="FFFFFF" w:themeColor="background1"/>
              </w:rPr>
              <w:t>Status</w:t>
            </w:r>
          </w:p>
        </w:tc>
      </w:tr>
      <w:tr w:rsidR="00AC3BA5" w:rsidTr="00AC3BA5">
        <w:tc>
          <w:tcPr>
            <w:tcW w:w="738" w:type="dxa"/>
          </w:tcPr>
          <w:p w:rsidR="00AC3BA5" w:rsidRDefault="00AC3BA5" w:rsidP="004A6531"/>
        </w:tc>
        <w:tc>
          <w:tcPr>
            <w:tcW w:w="2625" w:type="dxa"/>
          </w:tcPr>
          <w:p w:rsidR="00AC3BA5" w:rsidRDefault="00AC3BA5" w:rsidP="004A6531"/>
        </w:tc>
        <w:tc>
          <w:tcPr>
            <w:tcW w:w="2235" w:type="dxa"/>
          </w:tcPr>
          <w:p w:rsidR="00AC3BA5" w:rsidRDefault="00AC3BA5" w:rsidP="004A6531"/>
        </w:tc>
        <w:tc>
          <w:tcPr>
            <w:tcW w:w="1170" w:type="dxa"/>
          </w:tcPr>
          <w:p w:rsidR="00AC3BA5" w:rsidRDefault="00AC3BA5" w:rsidP="004A6531"/>
        </w:tc>
        <w:tc>
          <w:tcPr>
            <w:tcW w:w="2088" w:type="dxa"/>
          </w:tcPr>
          <w:p w:rsidR="00AC3BA5" w:rsidRDefault="00AC3BA5" w:rsidP="004A6531"/>
        </w:tc>
      </w:tr>
      <w:tr w:rsidR="00AC3BA5" w:rsidTr="00AC3BA5">
        <w:tc>
          <w:tcPr>
            <w:tcW w:w="738" w:type="dxa"/>
          </w:tcPr>
          <w:p w:rsidR="00AC3BA5" w:rsidRDefault="00AC3BA5" w:rsidP="004A6531">
            <w:r>
              <w:t>1.</w:t>
            </w:r>
          </w:p>
        </w:tc>
        <w:tc>
          <w:tcPr>
            <w:tcW w:w="2625" w:type="dxa"/>
          </w:tcPr>
          <w:p w:rsidR="00AC3BA5" w:rsidRDefault="00AC3BA5" w:rsidP="004A6531"/>
        </w:tc>
        <w:tc>
          <w:tcPr>
            <w:tcW w:w="2235" w:type="dxa"/>
          </w:tcPr>
          <w:p w:rsidR="00AC3BA5" w:rsidRDefault="00AC3BA5" w:rsidP="004A6531"/>
        </w:tc>
        <w:tc>
          <w:tcPr>
            <w:tcW w:w="1170" w:type="dxa"/>
          </w:tcPr>
          <w:p w:rsidR="00AC3BA5" w:rsidRDefault="00AC3BA5" w:rsidP="004A6531"/>
        </w:tc>
        <w:tc>
          <w:tcPr>
            <w:tcW w:w="2088" w:type="dxa"/>
          </w:tcPr>
          <w:p w:rsidR="00AC3BA5" w:rsidRDefault="00AC3BA5" w:rsidP="004A6531"/>
        </w:tc>
      </w:tr>
      <w:tr w:rsidR="00AC3BA5" w:rsidTr="00AC3BA5">
        <w:tc>
          <w:tcPr>
            <w:tcW w:w="738" w:type="dxa"/>
          </w:tcPr>
          <w:p w:rsidR="00AC3BA5" w:rsidRDefault="00AC3BA5" w:rsidP="004A6531">
            <w:r>
              <w:t>2.</w:t>
            </w:r>
          </w:p>
        </w:tc>
        <w:tc>
          <w:tcPr>
            <w:tcW w:w="2625" w:type="dxa"/>
          </w:tcPr>
          <w:p w:rsidR="00AC3BA5" w:rsidRDefault="00AC3BA5" w:rsidP="004A6531"/>
        </w:tc>
        <w:tc>
          <w:tcPr>
            <w:tcW w:w="2235" w:type="dxa"/>
          </w:tcPr>
          <w:p w:rsidR="00AC3BA5" w:rsidRDefault="00AC3BA5" w:rsidP="004A6531"/>
        </w:tc>
        <w:tc>
          <w:tcPr>
            <w:tcW w:w="1170" w:type="dxa"/>
          </w:tcPr>
          <w:p w:rsidR="00AC3BA5" w:rsidRDefault="00AC3BA5" w:rsidP="004A6531"/>
        </w:tc>
        <w:tc>
          <w:tcPr>
            <w:tcW w:w="2088" w:type="dxa"/>
          </w:tcPr>
          <w:p w:rsidR="00AC3BA5" w:rsidRDefault="00AC3BA5" w:rsidP="004A6531"/>
        </w:tc>
      </w:tr>
      <w:tr w:rsidR="00AC3BA5" w:rsidTr="00AC3BA5">
        <w:tc>
          <w:tcPr>
            <w:tcW w:w="738" w:type="dxa"/>
          </w:tcPr>
          <w:p w:rsidR="00AC3BA5" w:rsidRDefault="00AC3BA5" w:rsidP="004A6531">
            <w:r>
              <w:t>3.</w:t>
            </w:r>
          </w:p>
        </w:tc>
        <w:tc>
          <w:tcPr>
            <w:tcW w:w="2625" w:type="dxa"/>
          </w:tcPr>
          <w:p w:rsidR="00AC3BA5" w:rsidRDefault="00AC3BA5" w:rsidP="004A6531"/>
        </w:tc>
        <w:tc>
          <w:tcPr>
            <w:tcW w:w="2235" w:type="dxa"/>
          </w:tcPr>
          <w:p w:rsidR="00AC3BA5" w:rsidRDefault="00AC3BA5" w:rsidP="004A6531"/>
        </w:tc>
        <w:tc>
          <w:tcPr>
            <w:tcW w:w="1170" w:type="dxa"/>
          </w:tcPr>
          <w:p w:rsidR="00AC3BA5" w:rsidRDefault="00AC3BA5" w:rsidP="004A6531"/>
        </w:tc>
        <w:tc>
          <w:tcPr>
            <w:tcW w:w="2088" w:type="dxa"/>
          </w:tcPr>
          <w:p w:rsidR="00AC3BA5" w:rsidRDefault="00AC3BA5" w:rsidP="004A6531"/>
        </w:tc>
      </w:tr>
    </w:tbl>
    <w:p w:rsidR="00C43D3B" w:rsidRDefault="00C43D3B" w:rsidP="00C43D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3C2E29" w:rsidTr="003C2E29">
        <w:trPr>
          <w:trHeight w:val="1250"/>
        </w:trPr>
        <w:tc>
          <w:tcPr>
            <w:tcW w:w="1374" w:type="dxa"/>
            <w:tcBorders>
              <w:bottom w:val="single" w:sz="4" w:space="0" w:color="0070C0"/>
              <w:right w:val="single" w:sz="4" w:space="0" w:color="0070C0"/>
            </w:tcBorders>
            <w:shd w:val="clear" w:color="auto" w:fill="3D85C6"/>
          </w:tcPr>
          <w:p w:rsidR="003C2E29" w:rsidRDefault="003C2E29" w:rsidP="004A6531">
            <w:pPr>
              <w:pStyle w:val="Heading1"/>
              <w:spacing w:before="0" w:after="0"/>
            </w:pPr>
            <w:r>
              <w:rPr>
                <w:noProof/>
              </w:rPr>
              <w:drawing>
                <wp:inline distT="0" distB="0" distL="0" distR="0" wp14:anchorId="21222CDA" wp14:editId="371F6E3A">
                  <wp:extent cx="733425" cy="733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3C2E29" w:rsidRDefault="003C2E29" w:rsidP="003C2E29">
            <w:pPr>
              <w:spacing w:after="0"/>
            </w:pPr>
            <w:r w:rsidRPr="006A0EC7">
              <w:rPr>
                <w:b/>
              </w:rPr>
              <w:t>Note to author</w:t>
            </w:r>
            <w:r w:rsidRPr="006A0EC7">
              <w:t xml:space="preserve">: </w:t>
            </w:r>
            <w:r>
              <w:t>The “Action item review”</w:t>
            </w:r>
            <w:r w:rsidRPr="003C2E29">
              <w:t xml:space="preserve"> section is useful for reviewing action items from previous meetings in order to record the progress update.</w:t>
            </w:r>
          </w:p>
        </w:tc>
      </w:tr>
    </w:tbl>
    <w:p w:rsidR="00C43D3B" w:rsidRDefault="00C43D3B" w:rsidP="00C43D3B"/>
    <w:p w:rsidR="00852FC2" w:rsidRDefault="00852FC2" w:rsidP="00852FC2">
      <w:pPr>
        <w:pStyle w:val="Heading2"/>
      </w:pPr>
      <w:r>
        <w:lastRenderedPageBreak/>
        <w:t>Key decisions/takeaways</w:t>
      </w:r>
    </w:p>
    <w:tbl>
      <w:tblPr>
        <w:tblStyle w:val="TableGrid"/>
        <w:tblW w:w="0" w:type="auto"/>
        <w:tblLook w:val="04A0" w:firstRow="1" w:lastRow="0" w:firstColumn="1" w:lastColumn="0" w:noHBand="0" w:noVBand="1"/>
      </w:tblPr>
      <w:tblGrid>
        <w:gridCol w:w="738"/>
        <w:gridCol w:w="2625"/>
        <w:gridCol w:w="2235"/>
        <w:gridCol w:w="1170"/>
        <w:gridCol w:w="2088"/>
      </w:tblGrid>
      <w:tr w:rsidR="00852FC2" w:rsidTr="004A6531">
        <w:tc>
          <w:tcPr>
            <w:tcW w:w="738" w:type="dxa"/>
          </w:tcPr>
          <w:p w:rsidR="00852FC2" w:rsidRDefault="00852FC2" w:rsidP="004A6531">
            <w:r>
              <w:t>1.</w:t>
            </w:r>
          </w:p>
        </w:tc>
        <w:tc>
          <w:tcPr>
            <w:tcW w:w="2625" w:type="dxa"/>
          </w:tcPr>
          <w:p w:rsidR="00852FC2" w:rsidRDefault="00852FC2" w:rsidP="004A6531"/>
        </w:tc>
        <w:tc>
          <w:tcPr>
            <w:tcW w:w="2235" w:type="dxa"/>
          </w:tcPr>
          <w:p w:rsidR="00852FC2" w:rsidRDefault="00852FC2" w:rsidP="004A6531"/>
        </w:tc>
        <w:tc>
          <w:tcPr>
            <w:tcW w:w="1170" w:type="dxa"/>
          </w:tcPr>
          <w:p w:rsidR="00852FC2" w:rsidRDefault="00852FC2" w:rsidP="004A6531"/>
        </w:tc>
        <w:tc>
          <w:tcPr>
            <w:tcW w:w="2088" w:type="dxa"/>
          </w:tcPr>
          <w:p w:rsidR="00852FC2" w:rsidRDefault="00852FC2" w:rsidP="004A6531"/>
        </w:tc>
      </w:tr>
      <w:tr w:rsidR="00852FC2" w:rsidTr="004A6531">
        <w:tc>
          <w:tcPr>
            <w:tcW w:w="738" w:type="dxa"/>
          </w:tcPr>
          <w:p w:rsidR="00852FC2" w:rsidRDefault="00852FC2" w:rsidP="004A6531">
            <w:r>
              <w:t>2.</w:t>
            </w:r>
          </w:p>
        </w:tc>
        <w:tc>
          <w:tcPr>
            <w:tcW w:w="2625" w:type="dxa"/>
          </w:tcPr>
          <w:p w:rsidR="00852FC2" w:rsidRDefault="00852FC2" w:rsidP="004A6531"/>
        </w:tc>
        <w:tc>
          <w:tcPr>
            <w:tcW w:w="2235" w:type="dxa"/>
          </w:tcPr>
          <w:p w:rsidR="00852FC2" w:rsidRDefault="00852FC2" w:rsidP="004A6531"/>
        </w:tc>
        <w:tc>
          <w:tcPr>
            <w:tcW w:w="1170" w:type="dxa"/>
          </w:tcPr>
          <w:p w:rsidR="00852FC2" w:rsidRDefault="00852FC2" w:rsidP="004A6531"/>
        </w:tc>
        <w:tc>
          <w:tcPr>
            <w:tcW w:w="2088" w:type="dxa"/>
          </w:tcPr>
          <w:p w:rsidR="00852FC2" w:rsidRDefault="00852FC2" w:rsidP="004A6531"/>
        </w:tc>
      </w:tr>
      <w:tr w:rsidR="00852FC2" w:rsidTr="004A6531">
        <w:tc>
          <w:tcPr>
            <w:tcW w:w="738" w:type="dxa"/>
          </w:tcPr>
          <w:p w:rsidR="00852FC2" w:rsidRDefault="00852FC2" w:rsidP="004A6531">
            <w:r>
              <w:t>3.</w:t>
            </w:r>
          </w:p>
        </w:tc>
        <w:tc>
          <w:tcPr>
            <w:tcW w:w="2625" w:type="dxa"/>
          </w:tcPr>
          <w:p w:rsidR="00852FC2" w:rsidRDefault="00852FC2" w:rsidP="004A6531"/>
        </w:tc>
        <w:tc>
          <w:tcPr>
            <w:tcW w:w="2235" w:type="dxa"/>
          </w:tcPr>
          <w:p w:rsidR="00852FC2" w:rsidRDefault="00852FC2" w:rsidP="004A6531"/>
        </w:tc>
        <w:tc>
          <w:tcPr>
            <w:tcW w:w="1170" w:type="dxa"/>
          </w:tcPr>
          <w:p w:rsidR="00852FC2" w:rsidRDefault="00852FC2" w:rsidP="004A6531"/>
        </w:tc>
        <w:tc>
          <w:tcPr>
            <w:tcW w:w="2088" w:type="dxa"/>
          </w:tcPr>
          <w:p w:rsidR="00852FC2" w:rsidRDefault="00852FC2" w:rsidP="004A6531"/>
        </w:tc>
      </w:tr>
    </w:tbl>
    <w:p w:rsidR="00852FC2" w:rsidRDefault="00852FC2" w:rsidP="00C43D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091937" w:rsidTr="004A6531">
        <w:trPr>
          <w:trHeight w:val="1250"/>
        </w:trPr>
        <w:tc>
          <w:tcPr>
            <w:tcW w:w="1374" w:type="dxa"/>
            <w:tcBorders>
              <w:bottom w:val="single" w:sz="4" w:space="0" w:color="0070C0"/>
              <w:right w:val="single" w:sz="4" w:space="0" w:color="0070C0"/>
            </w:tcBorders>
            <w:shd w:val="clear" w:color="auto" w:fill="3D85C6"/>
          </w:tcPr>
          <w:p w:rsidR="00091937" w:rsidRDefault="00091937" w:rsidP="004A6531">
            <w:pPr>
              <w:pStyle w:val="Heading1"/>
              <w:spacing w:before="0" w:after="0"/>
            </w:pPr>
            <w:r>
              <w:rPr>
                <w:noProof/>
              </w:rPr>
              <w:drawing>
                <wp:inline distT="0" distB="0" distL="0" distR="0" wp14:anchorId="6856CADB" wp14:editId="64B12500">
                  <wp:extent cx="733425" cy="733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091937" w:rsidRDefault="00091937" w:rsidP="004A6531">
            <w:pPr>
              <w:spacing w:after="0"/>
            </w:pPr>
            <w:r w:rsidRPr="006A0EC7">
              <w:rPr>
                <w:b/>
              </w:rPr>
              <w:t>Note to author</w:t>
            </w:r>
            <w:r w:rsidRPr="006A0EC7">
              <w:t xml:space="preserve">: </w:t>
            </w:r>
            <w:r w:rsidRPr="00091937">
              <w:t>Consider recording or transferring critical decisions and issues to a risks, ac</w:t>
            </w:r>
            <w:r w:rsidR="00697999">
              <w:t xml:space="preserve">tions, issues, decisions </w:t>
            </w:r>
            <w:r w:rsidRPr="00091937">
              <w:t>log</w:t>
            </w:r>
            <w:r w:rsidR="00697999">
              <w:t xml:space="preserve"> (</w:t>
            </w:r>
            <w:r w:rsidR="00697999" w:rsidRPr="00697999">
              <w:rPr>
                <w:b/>
              </w:rPr>
              <w:t>RAID Log</w:t>
            </w:r>
            <w:r w:rsidR="00697999">
              <w:t>)</w:t>
            </w:r>
            <w:r w:rsidRPr="00091937">
              <w:t>. However, some decisions and takeaways may be sufficient</w:t>
            </w:r>
            <w:r>
              <w:t>ly documented in this template.</w:t>
            </w:r>
          </w:p>
        </w:tc>
      </w:tr>
    </w:tbl>
    <w:p w:rsidR="00697999" w:rsidRDefault="00697999" w:rsidP="00697999">
      <w:pPr>
        <w:pStyle w:val="Heading2"/>
      </w:pPr>
      <w:r>
        <w:t>New action items</w:t>
      </w:r>
    </w:p>
    <w:tbl>
      <w:tblPr>
        <w:tblStyle w:val="TableGrid"/>
        <w:tblW w:w="0" w:type="auto"/>
        <w:tblLook w:val="04A0" w:firstRow="1" w:lastRow="0" w:firstColumn="1" w:lastColumn="0" w:noHBand="0" w:noVBand="1"/>
      </w:tblPr>
      <w:tblGrid>
        <w:gridCol w:w="738"/>
        <w:gridCol w:w="2625"/>
        <w:gridCol w:w="2235"/>
        <w:gridCol w:w="1170"/>
        <w:gridCol w:w="2088"/>
      </w:tblGrid>
      <w:tr w:rsidR="00697999" w:rsidTr="004A6531">
        <w:tc>
          <w:tcPr>
            <w:tcW w:w="738" w:type="dxa"/>
            <w:shd w:val="clear" w:color="auto" w:fill="3D85C6"/>
          </w:tcPr>
          <w:p w:rsidR="00697999" w:rsidRPr="007B5C78" w:rsidRDefault="00697999" w:rsidP="004A6531">
            <w:pPr>
              <w:pStyle w:val="Tabletext"/>
              <w:rPr>
                <w:b/>
                <w:color w:val="FFFFFF" w:themeColor="background1"/>
              </w:rPr>
            </w:pPr>
          </w:p>
        </w:tc>
        <w:tc>
          <w:tcPr>
            <w:tcW w:w="2625" w:type="dxa"/>
            <w:shd w:val="clear" w:color="auto" w:fill="3D85C6"/>
          </w:tcPr>
          <w:p w:rsidR="00697999" w:rsidRPr="007B5C78" w:rsidRDefault="00697999" w:rsidP="004A6531">
            <w:pPr>
              <w:pStyle w:val="Tabletext"/>
              <w:rPr>
                <w:b/>
                <w:color w:val="FFFFFF" w:themeColor="background1"/>
              </w:rPr>
            </w:pPr>
            <w:r>
              <w:rPr>
                <w:b/>
                <w:color w:val="FFFFFF" w:themeColor="background1"/>
              </w:rPr>
              <w:t>Action item</w:t>
            </w:r>
          </w:p>
        </w:tc>
        <w:tc>
          <w:tcPr>
            <w:tcW w:w="2235" w:type="dxa"/>
            <w:shd w:val="clear" w:color="auto" w:fill="3D85C6"/>
          </w:tcPr>
          <w:p w:rsidR="00697999" w:rsidRPr="007B5C78" w:rsidRDefault="00697999" w:rsidP="004A6531">
            <w:pPr>
              <w:pStyle w:val="Tabletext"/>
              <w:rPr>
                <w:b/>
                <w:color w:val="FFFFFF" w:themeColor="background1"/>
              </w:rPr>
            </w:pPr>
            <w:r>
              <w:rPr>
                <w:b/>
                <w:color w:val="FFFFFF" w:themeColor="background1"/>
              </w:rPr>
              <w:t>Person responsible</w:t>
            </w:r>
          </w:p>
        </w:tc>
        <w:tc>
          <w:tcPr>
            <w:tcW w:w="1170" w:type="dxa"/>
            <w:shd w:val="clear" w:color="auto" w:fill="3D85C6"/>
          </w:tcPr>
          <w:p w:rsidR="00697999" w:rsidRPr="007B5C78" w:rsidRDefault="00697999" w:rsidP="004A6531">
            <w:pPr>
              <w:pStyle w:val="Tabletext"/>
              <w:rPr>
                <w:b/>
                <w:color w:val="FFFFFF" w:themeColor="background1"/>
              </w:rPr>
            </w:pPr>
            <w:r>
              <w:rPr>
                <w:b/>
                <w:color w:val="FFFFFF" w:themeColor="background1"/>
              </w:rPr>
              <w:t>Due date</w:t>
            </w:r>
          </w:p>
        </w:tc>
        <w:tc>
          <w:tcPr>
            <w:tcW w:w="2088" w:type="dxa"/>
            <w:shd w:val="clear" w:color="auto" w:fill="3D85C6"/>
          </w:tcPr>
          <w:p w:rsidR="00697999" w:rsidRDefault="00697999" w:rsidP="004A6531">
            <w:pPr>
              <w:pStyle w:val="Tabletext"/>
              <w:rPr>
                <w:b/>
                <w:color w:val="FFFFFF" w:themeColor="background1"/>
              </w:rPr>
            </w:pPr>
            <w:r>
              <w:rPr>
                <w:b/>
                <w:color w:val="FFFFFF" w:themeColor="background1"/>
              </w:rPr>
              <w:t>Status</w:t>
            </w:r>
          </w:p>
        </w:tc>
      </w:tr>
      <w:tr w:rsidR="00697999" w:rsidTr="004A6531">
        <w:tc>
          <w:tcPr>
            <w:tcW w:w="738" w:type="dxa"/>
          </w:tcPr>
          <w:p w:rsidR="00697999" w:rsidRDefault="00697999" w:rsidP="004A6531"/>
        </w:tc>
        <w:tc>
          <w:tcPr>
            <w:tcW w:w="2625" w:type="dxa"/>
          </w:tcPr>
          <w:p w:rsidR="00697999" w:rsidRDefault="00697999" w:rsidP="004A6531"/>
        </w:tc>
        <w:tc>
          <w:tcPr>
            <w:tcW w:w="2235" w:type="dxa"/>
          </w:tcPr>
          <w:p w:rsidR="00697999" w:rsidRDefault="00697999" w:rsidP="004A6531"/>
        </w:tc>
        <w:tc>
          <w:tcPr>
            <w:tcW w:w="1170" w:type="dxa"/>
          </w:tcPr>
          <w:p w:rsidR="00697999" w:rsidRDefault="00697999" w:rsidP="004A6531"/>
        </w:tc>
        <w:tc>
          <w:tcPr>
            <w:tcW w:w="2088" w:type="dxa"/>
          </w:tcPr>
          <w:p w:rsidR="00697999" w:rsidRDefault="00697999" w:rsidP="004A6531"/>
        </w:tc>
      </w:tr>
      <w:tr w:rsidR="00697999" w:rsidTr="004A6531">
        <w:tc>
          <w:tcPr>
            <w:tcW w:w="738" w:type="dxa"/>
          </w:tcPr>
          <w:p w:rsidR="00697999" w:rsidRDefault="00697999" w:rsidP="004A6531">
            <w:r>
              <w:t>1.</w:t>
            </w:r>
          </w:p>
        </w:tc>
        <w:tc>
          <w:tcPr>
            <w:tcW w:w="2625" w:type="dxa"/>
          </w:tcPr>
          <w:p w:rsidR="00697999" w:rsidRDefault="00697999" w:rsidP="004A6531"/>
        </w:tc>
        <w:tc>
          <w:tcPr>
            <w:tcW w:w="2235" w:type="dxa"/>
          </w:tcPr>
          <w:p w:rsidR="00697999" w:rsidRDefault="00697999" w:rsidP="004A6531"/>
        </w:tc>
        <w:tc>
          <w:tcPr>
            <w:tcW w:w="1170" w:type="dxa"/>
          </w:tcPr>
          <w:p w:rsidR="00697999" w:rsidRDefault="00697999" w:rsidP="004A6531"/>
        </w:tc>
        <w:tc>
          <w:tcPr>
            <w:tcW w:w="2088" w:type="dxa"/>
          </w:tcPr>
          <w:p w:rsidR="00697999" w:rsidRDefault="00697999" w:rsidP="004A6531"/>
        </w:tc>
      </w:tr>
      <w:tr w:rsidR="00697999" w:rsidTr="004A6531">
        <w:tc>
          <w:tcPr>
            <w:tcW w:w="738" w:type="dxa"/>
          </w:tcPr>
          <w:p w:rsidR="00697999" w:rsidRDefault="00697999" w:rsidP="004A6531">
            <w:r>
              <w:t>2.</w:t>
            </w:r>
          </w:p>
        </w:tc>
        <w:tc>
          <w:tcPr>
            <w:tcW w:w="2625" w:type="dxa"/>
          </w:tcPr>
          <w:p w:rsidR="00697999" w:rsidRDefault="00697999" w:rsidP="004A6531"/>
        </w:tc>
        <w:tc>
          <w:tcPr>
            <w:tcW w:w="2235" w:type="dxa"/>
          </w:tcPr>
          <w:p w:rsidR="00697999" w:rsidRDefault="00697999" w:rsidP="004A6531"/>
        </w:tc>
        <w:tc>
          <w:tcPr>
            <w:tcW w:w="1170" w:type="dxa"/>
          </w:tcPr>
          <w:p w:rsidR="00697999" w:rsidRDefault="00697999" w:rsidP="004A6531"/>
        </w:tc>
        <w:tc>
          <w:tcPr>
            <w:tcW w:w="2088" w:type="dxa"/>
          </w:tcPr>
          <w:p w:rsidR="00697999" w:rsidRDefault="00697999" w:rsidP="004A6531"/>
        </w:tc>
      </w:tr>
      <w:tr w:rsidR="00697999" w:rsidTr="004A6531">
        <w:tc>
          <w:tcPr>
            <w:tcW w:w="738" w:type="dxa"/>
          </w:tcPr>
          <w:p w:rsidR="00697999" w:rsidRDefault="00697999" w:rsidP="004A6531">
            <w:r>
              <w:t>3.</w:t>
            </w:r>
          </w:p>
        </w:tc>
        <w:tc>
          <w:tcPr>
            <w:tcW w:w="2625" w:type="dxa"/>
          </w:tcPr>
          <w:p w:rsidR="00697999" w:rsidRDefault="00697999" w:rsidP="004A6531"/>
        </w:tc>
        <w:tc>
          <w:tcPr>
            <w:tcW w:w="2235" w:type="dxa"/>
          </w:tcPr>
          <w:p w:rsidR="00697999" w:rsidRDefault="00697999" w:rsidP="004A6531"/>
        </w:tc>
        <w:tc>
          <w:tcPr>
            <w:tcW w:w="1170" w:type="dxa"/>
          </w:tcPr>
          <w:p w:rsidR="00697999" w:rsidRDefault="00697999" w:rsidP="004A6531"/>
        </w:tc>
        <w:tc>
          <w:tcPr>
            <w:tcW w:w="2088" w:type="dxa"/>
          </w:tcPr>
          <w:p w:rsidR="00697999" w:rsidRDefault="00697999" w:rsidP="004A6531"/>
        </w:tc>
      </w:tr>
    </w:tbl>
    <w:p w:rsidR="00697999" w:rsidRDefault="00697999" w:rsidP="0069799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697999" w:rsidTr="004A6531">
        <w:trPr>
          <w:trHeight w:val="1250"/>
        </w:trPr>
        <w:tc>
          <w:tcPr>
            <w:tcW w:w="1374" w:type="dxa"/>
            <w:tcBorders>
              <w:bottom w:val="single" w:sz="4" w:space="0" w:color="0070C0"/>
              <w:right w:val="single" w:sz="4" w:space="0" w:color="0070C0"/>
            </w:tcBorders>
            <w:shd w:val="clear" w:color="auto" w:fill="3D85C6"/>
          </w:tcPr>
          <w:p w:rsidR="00697999" w:rsidRDefault="00697999" w:rsidP="004A6531">
            <w:pPr>
              <w:pStyle w:val="Heading1"/>
              <w:spacing w:before="0" w:after="0"/>
            </w:pPr>
            <w:r>
              <w:rPr>
                <w:noProof/>
              </w:rPr>
              <w:drawing>
                <wp:inline distT="0" distB="0" distL="0" distR="0" wp14:anchorId="11F95633" wp14:editId="256C9BB3">
                  <wp:extent cx="733425" cy="7334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697999" w:rsidRDefault="00697999" w:rsidP="004A6531">
            <w:pPr>
              <w:spacing w:after="0"/>
            </w:pPr>
            <w:r w:rsidRPr="006A0EC7">
              <w:rPr>
                <w:b/>
              </w:rPr>
              <w:t>Note to author</w:t>
            </w:r>
            <w:r w:rsidRPr="006A0EC7">
              <w:t xml:space="preserve">: </w:t>
            </w:r>
            <w:r>
              <w:t>If you are using the</w:t>
            </w:r>
            <w:r w:rsidRPr="00697999">
              <w:t xml:space="preserve"> </w:t>
            </w:r>
            <w:r>
              <w:rPr>
                <w:b/>
              </w:rPr>
              <w:t>RAID L</w:t>
            </w:r>
            <w:r w:rsidRPr="00697999">
              <w:rPr>
                <w:b/>
              </w:rPr>
              <w:t>og</w:t>
            </w:r>
            <w:r w:rsidRPr="00697999">
              <w:t>, record critical action i</w:t>
            </w:r>
            <w:r w:rsidR="00075621">
              <w:t>tems in the log as well as in the “new action items” table above</w:t>
            </w:r>
            <w:r w:rsidRPr="00697999">
              <w:t>. However, some action items may be sufficiently documented in this template.</w:t>
            </w:r>
          </w:p>
        </w:tc>
      </w:tr>
    </w:tbl>
    <w:p w:rsidR="00FD11C1" w:rsidRDefault="00FD11C1" w:rsidP="00A04CDA">
      <w:pPr>
        <w:pStyle w:val="Heading2"/>
      </w:pPr>
      <w:r>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FD11C1" w:rsidTr="004A6531">
        <w:trPr>
          <w:trHeight w:val="1250"/>
        </w:trPr>
        <w:tc>
          <w:tcPr>
            <w:tcW w:w="1374" w:type="dxa"/>
            <w:tcBorders>
              <w:bottom w:val="single" w:sz="4" w:space="0" w:color="0070C0"/>
              <w:right w:val="single" w:sz="4" w:space="0" w:color="0070C0"/>
            </w:tcBorders>
            <w:shd w:val="clear" w:color="auto" w:fill="3D85C6"/>
          </w:tcPr>
          <w:p w:rsidR="00FD11C1" w:rsidRDefault="00FD11C1" w:rsidP="004A6531">
            <w:pPr>
              <w:pStyle w:val="Heading1"/>
              <w:spacing w:before="0" w:after="0"/>
            </w:pPr>
            <w:r>
              <w:rPr>
                <w:noProof/>
              </w:rPr>
              <w:drawing>
                <wp:inline distT="0" distB="0" distL="0" distR="0" wp14:anchorId="0F8D60DA" wp14:editId="3DC9529A">
                  <wp:extent cx="733425" cy="733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FD11C1" w:rsidRDefault="00FD11C1" w:rsidP="004A6531">
            <w:pPr>
              <w:spacing w:after="0"/>
            </w:pPr>
            <w:r w:rsidRPr="006A0EC7">
              <w:rPr>
                <w:b/>
              </w:rPr>
              <w:t>Note to author</w:t>
            </w:r>
            <w:r w:rsidRPr="006A0EC7">
              <w:t xml:space="preserve">: </w:t>
            </w:r>
            <w:r w:rsidRPr="00FD11C1">
              <w:t>Use the agenda topics as a guide for recording notes. These notes should aim to summarize the rationale for decisions made and the next steps as opposed to providing a verbatim account of the discussion. Bullet points are strongly suggested</w:t>
            </w:r>
            <w:r>
              <w:t>.</w:t>
            </w:r>
          </w:p>
        </w:tc>
      </w:tr>
    </w:tbl>
    <w:p w:rsidR="00FD11C1" w:rsidRDefault="00FD11C1" w:rsidP="00FD11C1">
      <w:pPr>
        <w:pStyle w:val="Heading2"/>
      </w:pPr>
      <w:r>
        <w:t>Next meeting</w:t>
      </w:r>
    </w:p>
    <w:p w:rsidR="00FD11C1" w:rsidRPr="00FD11C1" w:rsidRDefault="00FD11C1" w:rsidP="00FD11C1">
      <w:r w:rsidRPr="00FD11C1">
        <w:t>&lt;Date and time of next meeting.&gt;</w:t>
      </w:r>
    </w:p>
    <w:p w:rsidR="00FD11C1" w:rsidRPr="00FD11C1" w:rsidRDefault="00FD11C1" w:rsidP="00FD11C1"/>
    <w:sectPr w:rsidR="00FD11C1" w:rsidRPr="00FD11C1" w:rsidSect="00DF60C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85"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B61" w:rsidRDefault="00241B61" w:rsidP="00A04CDA">
      <w:r>
        <w:separator/>
      </w:r>
    </w:p>
  </w:endnote>
  <w:endnote w:type="continuationSeparator" w:id="0">
    <w:p w:rsidR="00241B61" w:rsidRDefault="00241B61"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A03DE0">
          <w:rPr>
            <w:noProof/>
          </w:rPr>
          <w:t>2</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A03DE0">
      <w:tc>
        <w:tcPr>
          <w:tcW w:w="6408" w:type="dxa"/>
          <w:vAlign w:val="center"/>
        </w:tcPr>
        <w:p w:rsidR="00EA73BD" w:rsidRPr="00535C42" w:rsidRDefault="00EA73BD" w:rsidP="003E0212">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A03DE0">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3E0212">
            <w:rPr>
              <w:i/>
              <w:color w:val="666666"/>
              <w:sz w:val="20"/>
              <w:szCs w:val="20"/>
            </w:rPr>
            <w:t>June 20</w:t>
          </w:r>
          <w:r w:rsidRPr="00535C42">
            <w:rPr>
              <w:i/>
              <w:color w:val="666666"/>
              <w:sz w:val="20"/>
              <w:szCs w:val="20"/>
            </w:rPr>
            <w:t>,</w:t>
          </w:r>
          <w:r w:rsidR="003E0212">
            <w:rPr>
              <w:i/>
              <w:color w:val="666666"/>
              <w:sz w:val="20"/>
              <w:szCs w:val="20"/>
            </w:rPr>
            <w:t xml:space="preserve"> 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B61" w:rsidRDefault="00241B61" w:rsidP="00A04CDA">
      <w:r>
        <w:separator/>
      </w:r>
    </w:p>
  </w:footnote>
  <w:footnote w:type="continuationSeparator" w:id="0">
    <w:p w:rsidR="00241B61" w:rsidRDefault="00241B61"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DE0" w:rsidRDefault="00A03D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3F1D19" w:rsidP="00EA73BD">
          <w:pPr>
            <w:spacing w:before="280" w:after="0"/>
            <w:ind w:right="187"/>
            <w:jc w:val="right"/>
            <w:rPr>
              <w:b/>
              <w:color w:val="3D85C6"/>
              <w:sz w:val="20"/>
            </w:rPr>
          </w:pPr>
          <w:bookmarkStart w:id="4" w:name="_GoBack"/>
          <w:bookmarkEnd w:id="4"/>
          <w:r w:rsidRPr="003F1D19">
            <w:rPr>
              <w:i/>
              <w:color w:val="3D85C6"/>
              <w:sz w:val="20"/>
            </w:rPr>
            <w:t>Meeting Notes Template</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Pr="003F1D19" w:rsidRDefault="00EA73BD" w:rsidP="00EA73BD">
    <w:pPr>
      <w:pStyle w:val="Header"/>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8090C"/>
    <w:multiLevelType w:val="multilevel"/>
    <w:tmpl w:val="77208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11B05"/>
    <w:multiLevelType w:val="multilevel"/>
    <w:tmpl w:val="98322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4"/>
  </w:num>
  <w:num w:numId="3">
    <w:abstractNumId w:val="7"/>
  </w:num>
  <w:num w:numId="4">
    <w:abstractNumId w:val="2"/>
  </w:num>
  <w:num w:numId="5">
    <w:abstractNumId w:val="5"/>
  </w:num>
  <w:num w:numId="6">
    <w:abstractNumId w:val="3"/>
  </w:num>
  <w:num w:numId="7">
    <w:abstractNumId w:val="8"/>
  </w:num>
  <w:num w:numId="8">
    <w:abstractNumId w:val="10"/>
  </w:num>
  <w:num w:numId="9">
    <w:abstractNumId w:val="6"/>
  </w:num>
  <w:num w:numId="10">
    <w:abstractNumId w:val="9"/>
  </w:num>
  <w:num w:numId="11">
    <w:abstractNumId w:val="13"/>
  </w:num>
  <w:num w:numId="12">
    <w:abstractNumId w:val="0"/>
  </w:num>
  <w:num w:numId="13">
    <w:abstractNumId w:val="1"/>
  </w:num>
  <w:num w:numId="14">
    <w:abstractNumId w:val="11"/>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562E1"/>
    <w:rsid w:val="00075621"/>
    <w:rsid w:val="0008131A"/>
    <w:rsid w:val="00085992"/>
    <w:rsid w:val="000912EF"/>
    <w:rsid w:val="00091937"/>
    <w:rsid w:val="00094169"/>
    <w:rsid w:val="00097BFB"/>
    <w:rsid w:val="000B7210"/>
    <w:rsid w:val="000D0B65"/>
    <w:rsid w:val="000E068E"/>
    <w:rsid w:val="00121C2C"/>
    <w:rsid w:val="001A29BE"/>
    <w:rsid w:val="001B4347"/>
    <w:rsid w:val="001F66F6"/>
    <w:rsid w:val="00215B92"/>
    <w:rsid w:val="00241B61"/>
    <w:rsid w:val="00245843"/>
    <w:rsid w:val="00292473"/>
    <w:rsid w:val="002B3F42"/>
    <w:rsid w:val="002E7E85"/>
    <w:rsid w:val="0032765F"/>
    <w:rsid w:val="00336DC7"/>
    <w:rsid w:val="003662EE"/>
    <w:rsid w:val="0037611A"/>
    <w:rsid w:val="003843D4"/>
    <w:rsid w:val="003C1849"/>
    <w:rsid w:val="003C2E29"/>
    <w:rsid w:val="003C4058"/>
    <w:rsid w:val="003E0212"/>
    <w:rsid w:val="003F1D19"/>
    <w:rsid w:val="003F71FB"/>
    <w:rsid w:val="004267F3"/>
    <w:rsid w:val="0043390F"/>
    <w:rsid w:val="00461445"/>
    <w:rsid w:val="004B79CC"/>
    <w:rsid w:val="004C3817"/>
    <w:rsid w:val="004D5FA6"/>
    <w:rsid w:val="004E0D7A"/>
    <w:rsid w:val="004F7589"/>
    <w:rsid w:val="005007B0"/>
    <w:rsid w:val="005033A0"/>
    <w:rsid w:val="00503E36"/>
    <w:rsid w:val="00535C42"/>
    <w:rsid w:val="005936B9"/>
    <w:rsid w:val="005A61CE"/>
    <w:rsid w:val="00631210"/>
    <w:rsid w:val="00682B42"/>
    <w:rsid w:val="00697999"/>
    <w:rsid w:val="006A0EC7"/>
    <w:rsid w:val="006C4F7A"/>
    <w:rsid w:val="006D0ADE"/>
    <w:rsid w:val="006D582A"/>
    <w:rsid w:val="006F01DE"/>
    <w:rsid w:val="007006E8"/>
    <w:rsid w:val="0070218B"/>
    <w:rsid w:val="007B5C78"/>
    <w:rsid w:val="007C34FD"/>
    <w:rsid w:val="007D19D5"/>
    <w:rsid w:val="007D3DA8"/>
    <w:rsid w:val="007E7070"/>
    <w:rsid w:val="008076B4"/>
    <w:rsid w:val="00827522"/>
    <w:rsid w:val="00852FC2"/>
    <w:rsid w:val="008D6A72"/>
    <w:rsid w:val="008F1714"/>
    <w:rsid w:val="008F3148"/>
    <w:rsid w:val="008F5F83"/>
    <w:rsid w:val="00902A01"/>
    <w:rsid w:val="00924770"/>
    <w:rsid w:val="00946CA6"/>
    <w:rsid w:val="009705E6"/>
    <w:rsid w:val="00983299"/>
    <w:rsid w:val="009906F5"/>
    <w:rsid w:val="009C30AB"/>
    <w:rsid w:val="009F0300"/>
    <w:rsid w:val="00A03DE0"/>
    <w:rsid w:val="00A04CDA"/>
    <w:rsid w:val="00A0769E"/>
    <w:rsid w:val="00A30C03"/>
    <w:rsid w:val="00A30C12"/>
    <w:rsid w:val="00A65C7F"/>
    <w:rsid w:val="00A6653D"/>
    <w:rsid w:val="00A902C3"/>
    <w:rsid w:val="00AA5163"/>
    <w:rsid w:val="00AB31B0"/>
    <w:rsid w:val="00AC3BA5"/>
    <w:rsid w:val="00AF1E85"/>
    <w:rsid w:val="00B105A6"/>
    <w:rsid w:val="00B420B7"/>
    <w:rsid w:val="00B47CFB"/>
    <w:rsid w:val="00BA2A49"/>
    <w:rsid w:val="00BF6C40"/>
    <w:rsid w:val="00C17969"/>
    <w:rsid w:val="00C17B5C"/>
    <w:rsid w:val="00C37DFE"/>
    <w:rsid w:val="00C43D3B"/>
    <w:rsid w:val="00C5584B"/>
    <w:rsid w:val="00C63E90"/>
    <w:rsid w:val="00C64646"/>
    <w:rsid w:val="00D22588"/>
    <w:rsid w:val="00D2632E"/>
    <w:rsid w:val="00D3298E"/>
    <w:rsid w:val="00D557A5"/>
    <w:rsid w:val="00D664D4"/>
    <w:rsid w:val="00DB0715"/>
    <w:rsid w:val="00DE54E2"/>
    <w:rsid w:val="00DF60CD"/>
    <w:rsid w:val="00E259AE"/>
    <w:rsid w:val="00E73DBA"/>
    <w:rsid w:val="00E85DB8"/>
    <w:rsid w:val="00EA73BD"/>
    <w:rsid w:val="00EB4A98"/>
    <w:rsid w:val="00EB4E14"/>
    <w:rsid w:val="00EE259A"/>
    <w:rsid w:val="00EE588C"/>
    <w:rsid w:val="00EF4CB9"/>
    <w:rsid w:val="00F27549"/>
    <w:rsid w:val="00F50BEA"/>
    <w:rsid w:val="00F81827"/>
    <w:rsid w:val="00F96AB3"/>
    <w:rsid w:val="00FA1AE1"/>
    <w:rsid w:val="00FC6EB7"/>
    <w:rsid w:val="00FD11C1"/>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25F09"/>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BA5"/>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22</cp:revision>
  <dcterms:created xsi:type="dcterms:W3CDTF">2019-07-23T21:25:00Z</dcterms:created>
  <dcterms:modified xsi:type="dcterms:W3CDTF">2019-08-26T18:18:00Z</dcterms:modified>
</cp:coreProperties>
</file>